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BF84" w14:textId="77777777" w:rsidR="0064535F" w:rsidRPr="0064535F" w:rsidRDefault="0064535F" w:rsidP="0064535F">
      <w:pPr>
        <w:rPr>
          <w:rFonts w:ascii="Barlow" w:hAnsi="Barlow"/>
          <w:b/>
          <w:bCs/>
        </w:rPr>
      </w:pPr>
      <w:r w:rsidRPr="0064535F">
        <w:rPr>
          <w:rFonts w:ascii="Barlow" w:hAnsi="Barlow"/>
          <w:b/>
          <w:bCs/>
        </w:rPr>
        <w:t>Duiding en kanttekeningen (bijlage)</w:t>
      </w:r>
    </w:p>
    <w:p w14:paraId="61E9EA1E" w14:textId="77777777" w:rsidR="0064535F" w:rsidRPr="0064535F" w:rsidRDefault="0064535F" w:rsidP="0064535F">
      <w:pPr>
        <w:rPr>
          <w:rFonts w:ascii="Barlow" w:hAnsi="Barlow"/>
        </w:rPr>
      </w:pPr>
      <w:r w:rsidRPr="0064535F">
        <w:rPr>
          <w:rFonts w:ascii="Barlow" w:hAnsi="Barlow"/>
        </w:rPr>
        <w:t xml:space="preserve">Uitgangspunt van BK is dat ouders en kinderen een plek op de opvang in de buurt kunnen vinden. Een plek die bij hen en hun kind past, betaalbaar en toegankelijk is voor iedereen die het nodig heeft. Een ander uitgangspunt is dat we graag behouden wat goed gaat. </w:t>
      </w:r>
    </w:p>
    <w:p w14:paraId="65C75F75" w14:textId="77777777" w:rsidR="0064535F" w:rsidRPr="0064535F" w:rsidRDefault="0064535F" w:rsidP="0064535F">
      <w:pPr>
        <w:rPr>
          <w:rFonts w:ascii="Barlow" w:hAnsi="Barlow"/>
        </w:rPr>
      </w:pPr>
      <w:r w:rsidRPr="0064535F">
        <w:rPr>
          <w:rFonts w:ascii="Barlow" w:hAnsi="Barlow"/>
        </w:rPr>
        <w:t xml:space="preserve">Aan dit raamwerk hebben we alle documenten en discussies de afgelopen maanden getoetst. Daarbij opgemerkt: het Coalitieakkoord (CA) was leidend in dit stelselontwerp. Dat was ons kader en daar kon niet van afgeweken worden. </w:t>
      </w:r>
    </w:p>
    <w:p w14:paraId="2CA5EE30" w14:textId="77777777" w:rsidR="0064535F" w:rsidRPr="0064535F" w:rsidRDefault="0064535F" w:rsidP="0064535F">
      <w:pPr>
        <w:rPr>
          <w:rFonts w:ascii="Barlow" w:hAnsi="Barlow"/>
        </w:rPr>
      </w:pPr>
      <w:r w:rsidRPr="0064535F">
        <w:rPr>
          <w:rFonts w:ascii="Barlow" w:hAnsi="Barlow"/>
        </w:rPr>
        <w:t>Onze kanttekeningen en bezwaren bij het huidige concept-ontwerp:</w:t>
      </w:r>
    </w:p>
    <w:p w14:paraId="74AF6361" w14:textId="77777777" w:rsidR="0064535F" w:rsidRPr="0064535F" w:rsidRDefault="0064535F" w:rsidP="0064535F">
      <w:pPr>
        <w:rPr>
          <w:rFonts w:ascii="Barlow" w:hAnsi="Barlow"/>
          <w:b/>
          <w:bCs/>
        </w:rPr>
      </w:pPr>
      <w:r w:rsidRPr="0064535F">
        <w:rPr>
          <w:rFonts w:ascii="Barlow" w:hAnsi="Barlow"/>
          <w:b/>
          <w:bCs/>
        </w:rPr>
        <w:t>1.</w:t>
      </w:r>
      <w:r w:rsidRPr="0064535F">
        <w:rPr>
          <w:rFonts w:ascii="Barlow" w:hAnsi="Barlow"/>
          <w:b/>
          <w:bCs/>
        </w:rPr>
        <w:tab/>
        <w:t>Geen mensen en geen plek</w:t>
      </w:r>
    </w:p>
    <w:p w14:paraId="07846612" w14:textId="65584BFF" w:rsidR="0064535F" w:rsidRPr="0064535F" w:rsidRDefault="0064535F" w:rsidP="0064535F">
      <w:pPr>
        <w:rPr>
          <w:rFonts w:ascii="Barlow" w:hAnsi="Barlow"/>
        </w:rPr>
      </w:pPr>
      <w:r w:rsidRPr="0064535F">
        <w:rPr>
          <w:rFonts w:ascii="Barlow" w:hAnsi="Barlow"/>
        </w:rPr>
        <w:t>Omdat de vraag 30% zal toenemen (</w:t>
      </w:r>
      <w:hyperlink r:id="rId10" w:history="1">
        <w:r w:rsidRPr="00F8604A">
          <w:rPr>
            <w:rStyle w:val="Hyperlink"/>
            <w:rFonts w:ascii="Barlow" w:hAnsi="Barlow"/>
          </w:rPr>
          <w:t>onderzoek SZW</w:t>
        </w:r>
      </w:hyperlink>
      <w:r w:rsidRPr="0064535F">
        <w:rPr>
          <w:rFonts w:ascii="Barlow" w:hAnsi="Barlow"/>
        </w:rPr>
        <w:t>) zullen wachtlijsten groeien vanwege het tekort aan plekken en aan mensen. Nu al is er een tekort van 7000 mensen en dat loopt, met dit stelselontwerp, op naar 32.500 in 2032. Dat betekent dat ouders niet meer kunnen kiezen voor een plekje in de buurt en in veel gevallen hebben ouders überhaupt geen plek en moeten groepen dagelijks gesloten worden. De dubbele vergrijzing is nog minstens een decennium aanjager van dit personeelstekort. Nu al leidt dit tekort tot een dalende kwaliteit op de groep. En dan hebben we het nog niet eens over de 2 miljoen vierkante meter die er in opvangcapaciteit bij moet komen om de 30% groei te huisvesten. Gezien de huidige stikstofimpasse en de beschikbare vergunningsruimte in Nederland is dat ook in 2027 onmogelijk.</w:t>
      </w:r>
    </w:p>
    <w:p w14:paraId="7D4C6E51" w14:textId="77777777" w:rsidR="0064535F" w:rsidRPr="0064535F" w:rsidRDefault="0064535F" w:rsidP="0064535F">
      <w:pPr>
        <w:rPr>
          <w:rFonts w:ascii="Barlow" w:hAnsi="Barlow"/>
          <w:b/>
          <w:bCs/>
        </w:rPr>
      </w:pPr>
      <w:r w:rsidRPr="0064535F">
        <w:rPr>
          <w:rFonts w:ascii="Barlow" w:hAnsi="Barlow"/>
          <w:b/>
          <w:bCs/>
        </w:rPr>
        <w:t>2.</w:t>
      </w:r>
      <w:r w:rsidRPr="0064535F">
        <w:rPr>
          <w:rFonts w:ascii="Barlow" w:hAnsi="Barlow"/>
          <w:b/>
          <w:bCs/>
        </w:rPr>
        <w:tab/>
        <w:t>Nog ingewikkelder stelsel</w:t>
      </w:r>
    </w:p>
    <w:p w14:paraId="783118F3" w14:textId="77777777" w:rsidR="0064535F" w:rsidRPr="0064535F" w:rsidRDefault="0064535F" w:rsidP="0064535F">
      <w:pPr>
        <w:rPr>
          <w:rFonts w:ascii="Barlow" w:hAnsi="Barlow"/>
        </w:rPr>
      </w:pPr>
      <w:r w:rsidRPr="0064535F">
        <w:rPr>
          <w:rFonts w:ascii="Barlow" w:hAnsi="Barlow"/>
        </w:rPr>
        <w:t>De bedoeling van de stelselherziening was om het stelsel te vereenvoudigen en ouders, na de toeslagaffaire, vooral te ontzien. Het ontwerp wat nu voorligt, met meer administratieve lasten voor aanbieders, pedagogisch professionals en zzp’ende ouders, faciliteert dit juist niet:</w:t>
      </w:r>
    </w:p>
    <w:p w14:paraId="0E97287A" w14:textId="77777777" w:rsidR="0064535F" w:rsidRPr="0064535F" w:rsidRDefault="0064535F" w:rsidP="0064535F">
      <w:pPr>
        <w:pStyle w:val="Lijstalinea"/>
        <w:numPr>
          <w:ilvl w:val="0"/>
          <w:numId w:val="1"/>
        </w:numPr>
        <w:rPr>
          <w:rFonts w:ascii="Barlow" w:hAnsi="Barlow"/>
        </w:rPr>
      </w:pPr>
      <w:r w:rsidRPr="0064535F">
        <w:rPr>
          <w:rFonts w:ascii="Barlow" w:hAnsi="Barlow"/>
        </w:rPr>
        <w:t>er ontstaat een complexe driehoeksrelatie tussen ouder, uitvoerder en KOO/GOB;</w:t>
      </w:r>
    </w:p>
    <w:p w14:paraId="57F89015" w14:textId="77777777" w:rsidR="0064535F" w:rsidRPr="0064535F" w:rsidRDefault="0064535F" w:rsidP="0064535F">
      <w:pPr>
        <w:pStyle w:val="Lijstalinea"/>
        <w:numPr>
          <w:ilvl w:val="0"/>
          <w:numId w:val="1"/>
        </w:numPr>
        <w:rPr>
          <w:rFonts w:ascii="Barlow" w:hAnsi="Barlow"/>
        </w:rPr>
      </w:pPr>
      <w:r w:rsidRPr="0064535F">
        <w:rPr>
          <w:rFonts w:ascii="Barlow" w:hAnsi="Barlow"/>
        </w:rPr>
        <w:t xml:space="preserve">de verplichting voor mensen die niet in loondienst zijn om iedere drie maanden gegevens aan te leveren levert onzekerheid op voor zowel ouders als de KOO/GOB; </w:t>
      </w:r>
    </w:p>
    <w:p w14:paraId="75BC6592" w14:textId="00B674E7" w:rsidR="0064535F" w:rsidRPr="0064535F" w:rsidRDefault="0064535F" w:rsidP="0064535F">
      <w:pPr>
        <w:pStyle w:val="Lijstalinea"/>
        <w:numPr>
          <w:ilvl w:val="0"/>
          <w:numId w:val="1"/>
        </w:numPr>
        <w:rPr>
          <w:rFonts w:ascii="Barlow" w:hAnsi="Barlow"/>
        </w:rPr>
      </w:pPr>
      <w:r w:rsidRPr="0064535F">
        <w:rPr>
          <w:rFonts w:ascii="Barlow" w:hAnsi="Barlow"/>
        </w:rPr>
        <w:t>er moeten twee geldstromen door de KOO/GOB worden gemanaged</w:t>
      </w:r>
      <w:r w:rsidR="007F67D4">
        <w:rPr>
          <w:rFonts w:ascii="Barlow" w:hAnsi="Barlow"/>
        </w:rPr>
        <w:t>;</w:t>
      </w:r>
    </w:p>
    <w:p w14:paraId="57917A1D" w14:textId="23A48715" w:rsidR="0064535F" w:rsidRPr="0064535F" w:rsidRDefault="0064535F" w:rsidP="0064535F">
      <w:pPr>
        <w:pStyle w:val="Lijstalinea"/>
        <w:numPr>
          <w:ilvl w:val="0"/>
          <w:numId w:val="1"/>
        </w:numPr>
        <w:rPr>
          <w:rFonts w:ascii="Barlow" w:hAnsi="Barlow"/>
        </w:rPr>
      </w:pPr>
      <w:r w:rsidRPr="0064535F">
        <w:rPr>
          <w:rFonts w:ascii="Barlow" w:hAnsi="Barlow"/>
        </w:rPr>
        <w:t xml:space="preserve">de samenhang met andere stelsels van inkomensondersteuning en gemeentelijke regelingen (dat zijn er 27!) ontbreekt. Zie o.a. het </w:t>
      </w:r>
      <w:hyperlink r:id="rId11" w:history="1">
        <w:r w:rsidRPr="003721D9">
          <w:rPr>
            <w:rStyle w:val="Hyperlink"/>
            <w:rFonts w:ascii="Barlow" w:hAnsi="Barlow"/>
          </w:rPr>
          <w:t>artikel</w:t>
        </w:r>
      </w:hyperlink>
      <w:r w:rsidRPr="0064535F">
        <w:rPr>
          <w:rFonts w:ascii="Barlow" w:hAnsi="Barlow"/>
        </w:rPr>
        <w:t xml:space="preserve"> van </w:t>
      </w:r>
      <w:r w:rsidR="003721D9">
        <w:rPr>
          <w:rFonts w:ascii="Barlow" w:hAnsi="Barlow"/>
        </w:rPr>
        <w:t>Yrla van de Ven</w:t>
      </w:r>
      <w:r w:rsidR="0019212A">
        <w:rPr>
          <w:rFonts w:ascii="Barlow" w:hAnsi="Barlow"/>
        </w:rPr>
        <w:t xml:space="preserve"> en </w:t>
      </w:r>
      <w:r w:rsidR="0019212A" w:rsidRPr="0064535F">
        <w:rPr>
          <w:rFonts w:ascii="Barlow" w:hAnsi="Barlow"/>
        </w:rPr>
        <w:t xml:space="preserve">Jasper </w:t>
      </w:r>
      <w:r w:rsidR="0019212A">
        <w:rPr>
          <w:rFonts w:ascii="Barlow" w:hAnsi="Barlow"/>
        </w:rPr>
        <w:t>van Dijk</w:t>
      </w:r>
      <w:r w:rsidR="00A67666">
        <w:rPr>
          <w:rFonts w:ascii="Barlow" w:hAnsi="Barlow"/>
        </w:rPr>
        <w:t xml:space="preserve"> van het Instituut voor Publieke Economie</w:t>
      </w:r>
      <w:r w:rsidR="003721D9">
        <w:rPr>
          <w:rFonts w:ascii="Barlow" w:hAnsi="Barlow"/>
        </w:rPr>
        <w:t xml:space="preserve">. </w:t>
      </w:r>
    </w:p>
    <w:p w14:paraId="03068FEB" w14:textId="77777777" w:rsidR="0064535F" w:rsidRPr="0064535F" w:rsidRDefault="0064535F" w:rsidP="0064535F">
      <w:pPr>
        <w:rPr>
          <w:rFonts w:ascii="Barlow" w:hAnsi="Barlow"/>
        </w:rPr>
      </w:pPr>
      <w:r w:rsidRPr="0064535F">
        <w:rPr>
          <w:rFonts w:ascii="Barlow" w:hAnsi="Barlow"/>
        </w:rPr>
        <w:t xml:space="preserve">Het vak wordt er door meer bureaucratie niet aantrekkelijker op. Maatregelen die aan de voorkant zijn weggehaald (koppeling gewerkte uren en inkomensafhankelijkheid), worden gecompenseerd met mitigerende maatregelen aan de achterkant. Het probleem wat de overheid heeft gecreëerd, wordt afgewenteld op de werkvloer. We zien gastouders en kleinere organisaties, die juist zo belangrijk zijn voor de pluriformiteit en de fijnmazigheid, daarom verdwijnen uit de sector. </w:t>
      </w:r>
    </w:p>
    <w:p w14:paraId="2DCBD4A2" w14:textId="77777777" w:rsidR="0064535F" w:rsidRPr="0064535F" w:rsidRDefault="0064535F" w:rsidP="0064535F">
      <w:pPr>
        <w:rPr>
          <w:rFonts w:ascii="Barlow" w:hAnsi="Barlow"/>
          <w:b/>
          <w:bCs/>
        </w:rPr>
      </w:pPr>
      <w:r w:rsidRPr="0064535F">
        <w:rPr>
          <w:rFonts w:ascii="Barlow" w:hAnsi="Barlow"/>
          <w:b/>
          <w:bCs/>
        </w:rPr>
        <w:t>3.</w:t>
      </w:r>
      <w:r w:rsidRPr="0064535F">
        <w:rPr>
          <w:rFonts w:ascii="Barlow" w:hAnsi="Barlow"/>
          <w:b/>
          <w:bCs/>
        </w:rPr>
        <w:tab/>
        <w:t>Juridische gevolgen complexe driehoeksrelatie</w:t>
      </w:r>
    </w:p>
    <w:p w14:paraId="7FA90F69" w14:textId="77777777" w:rsidR="0064535F" w:rsidRPr="0064535F" w:rsidRDefault="0064535F" w:rsidP="0064535F">
      <w:pPr>
        <w:rPr>
          <w:rFonts w:ascii="Barlow" w:hAnsi="Barlow"/>
        </w:rPr>
      </w:pPr>
      <w:r w:rsidRPr="0064535F">
        <w:rPr>
          <w:rFonts w:ascii="Barlow" w:hAnsi="Barlow"/>
        </w:rPr>
        <w:t>In het concept stelsel wordt een complexe driehoeksrelatie gecreëerd tussen ouders, overheid en KOO/GOB. Daar zitten diverse juridische gevolgen aan:</w:t>
      </w:r>
    </w:p>
    <w:p w14:paraId="13C127B5" w14:textId="77777777" w:rsidR="0064535F" w:rsidRPr="0064535F" w:rsidRDefault="0064535F" w:rsidP="0064535F">
      <w:pPr>
        <w:pStyle w:val="Lijstalinea"/>
        <w:numPr>
          <w:ilvl w:val="0"/>
          <w:numId w:val="1"/>
        </w:numPr>
        <w:rPr>
          <w:rFonts w:ascii="Barlow" w:hAnsi="Barlow"/>
        </w:rPr>
      </w:pPr>
      <w:r w:rsidRPr="0064535F">
        <w:rPr>
          <w:rFonts w:ascii="Barlow" w:hAnsi="Barlow"/>
        </w:rPr>
        <w:t xml:space="preserve">Hoewel het ontwerp het niet expliciet zo noemt, lijkt het er sterk op dat de relatie tussen overheid en KOO/GOB een subsidierelatie wordt. Dit heeft in potentie grote gevolgen omdat veel extra verplichtingen kunnen worden opgelegd (denk aan: niet </w:t>
      </w:r>
      <w:r w:rsidRPr="0064535F">
        <w:rPr>
          <w:rFonts w:ascii="Barlow" w:hAnsi="Barlow"/>
        </w:rPr>
        <w:lastRenderedPageBreak/>
        <w:t>voldoen aan de kwaliteitseisen volgens de GGD betekent korting op de subsidie, Wet Normering Topinkomens, overige verplichtingen)</w:t>
      </w:r>
    </w:p>
    <w:p w14:paraId="741D0844" w14:textId="77777777" w:rsidR="0064535F" w:rsidRPr="0064535F" w:rsidRDefault="0064535F" w:rsidP="0064535F">
      <w:pPr>
        <w:pStyle w:val="Lijstalinea"/>
        <w:numPr>
          <w:ilvl w:val="0"/>
          <w:numId w:val="1"/>
        </w:numPr>
        <w:rPr>
          <w:rFonts w:ascii="Barlow" w:hAnsi="Barlow"/>
        </w:rPr>
      </w:pPr>
      <w:r w:rsidRPr="0064535F">
        <w:rPr>
          <w:rFonts w:ascii="Barlow" w:hAnsi="Barlow"/>
        </w:rPr>
        <w:t>Het al dan niet verkrijgen van de Vergoeding Kinderopvang (VKO) is in feite volledig afhankelijk van de gegevens, de informatievoorziening en het betaalgedrag van de ouders; voorwaarden waar de KOO/GOB geen grip op heeft en ook geen inzage in mag hebben. Het heeft wél effect op de betaling aan de KOO. De KOO/GOB kan bij de aanvraag van de “subsidie” niet zelfstandig voldoen aan de voorwaarden om voor die subsidie in aanmerking te komen. Dit zorgt voor een verhoging van het risicoprofiel van de KOO’s doordat het vergoedingsrecht verschuift, terwijl de ouder de initiator (en eerste belanghebbende) van de juridische relatie blijft.</w:t>
      </w:r>
    </w:p>
    <w:p w14:paraId="18D31DC7" w14:textId="77777777" w:rsidR="0064535F" w:rsidRPr="0064535F" w:rsidRDefault="0064535F" w:rsidP="0064535F">
      <w:pPr>
        <w:pStyle w:val="Lijstalinea"/>
        <w:numPr>
          <w:ilvl w:val="0"/>
          <w:numId w:val="1"/>
        </w:numPr>
        <w:rPr>
          <w:rFonts w:ascii="Barlow" w:hAnsi="Barlow"/>
        </w:rPr>
      </w:pPr>
      <w:r w:rsidRPr="0064535F">
        <w:rPr>
          <w:rFonts w:ascii="Barlow" w:hAnsi="Barlow"/>
        </w:rPr>
        <w:t>De rechtsbescherming van ouders lijkt door de driehoeksrelatie niet sterk. Vermoedelijk kunnen zij alleen in bezwaar gaan tegen een uitspraak van de uitvoerder als de KOO/GOB dat ook doet.</w:t>
      </w:r>
    </w:p>
    <w:p w14:paraId="762A258B" w14:textId="77777777" w:rsidR="0064535F" w:rsidRPr="0064535F" w:rsidRDefault="0064535F" w:rsidP="0064535F">
      <w:pPr>
        <w:pStyle w:val="Lijstalinea"/>
        <w:numPr>
          <w:ilvl w:val="0"/>
          <w:numId w:val="1"/>
        </w:numPr>
        <w:rPr>
          <w:rFonts w:ascii="Barlow" w:hAnsi="Barlow"/>
        </w:rPr>
      </w:pPr>
      <w:r w:rsidRPr="0064535F">
        <w:rPr>
          <w:rFonts w:ascii="Barlow" w:hAnsi="Barlow"/>
        </w:rPr>
        <w:t>De rechtsbescherming van KOO’s/GOB’s lijkt ook niet optimaal. Als ouders foutieve informatie aanleveren, wordt de VKO niet teruggevorderd bij hen. Als de KOO/GOB foutieve informatie aanlevert of de uitvoerder ten onrechte een recht op vergoeding heeft vastgesteld, kan de VKO wel worden teruggevorderd bij de KOO/GOB.</w:t>
      </w:r>
    </w:p>
    <w:p w14:paraId="49EF45EC" w14:textId="77777777" w:rsidR="0064535F" w:rsidRPr="0064535F" w:rsidRDefault="0064535F" w:rsidP="0064535F">
      <w:pPr>
        <w:rPr>
          <w:rFonts w:ascii="Barlow" w:hAnsi="Barlow"/>
        </w:rPr>
      </w:pPr>
      <w:r w:rsidRPr="0064535F">
        <w:rPr>
          <w:rFonts w:ascii="Barlow" w:hAnsi="Barlow"/>
        </w:rPr>
        <w:t>Andere juridische gevolgen met veel consequenties: als bijvoorbeeld de KOO de aanwezigheidsregistratie moet doen die als doel heeft om overcontractering tegen te gaan. Dat kan dan misschien niet meer met een iPad -  je hebt gecertificeerde registratie nodig die bij de rechter standhoudt als er verschil van mening ontstaat over aanwezigheid. Je kunt nu zonder check iedereen aanmelden.</w:t>
      </w:r>
    </w:p>
    <w:p w14:paraId="7B5A5575" w14:textId="77777777" w:rsidR="0064535F" w:rsidRPr="0064535F" w:rsidRDefault="0064535F" w:rsidP="0064535F">
      <w:pPr>
        <w:rPr>
          <w:rFonts w:ascii="Barlow" w:hAnsi="Barlow"/>
          <w:b/>
          <w:bCs/>
        </w:rPr>
      </w:pPr>
      <w:r w:rsidRPr="0064535F">
        <w:rPr>
          <w:rFonts w:ascii="Barlow" w:hAnsi="Barlow"/>
          <w:b/>
          <w:bCs/>
        </w:rPr>
        <w:t>4.</w:t>
      </w:r>
      <w:r w:rsidRPr="0064535F">
        <w:rPr>
          <w:rFonts w:ascii="Barlow" w:hAnsi="Barlow"/>
          <w:b/>
          <w:bCs/>
        </w:rPr>
        <w:tab/>
        <w:t>Kansengelijkheid neemt af</w:t>
      </w:r>
    </w:p>
    <w:p w14:paraId="538D6AD4" w14:textId="77777777" w:rsidR="0064535F" w:rsidRPr="0064535F" w:rsidRDefault="0064535F" w:rsidP="0064535F">
      <w:pPr>
        <w:rPr>
          <w:rFonts w:ascii="Barlow" w:hAnsi="Barlow"/>
        </w:rPr>
      </w:pPr>
      <w:r w:rsidRPr="0064535F">
        <w:rPr>
          <w:rFonts w:ascii="Barlow" w:hAnsi="Barlow"/>
        </w:rPr>
        <w:t xml:space="preserve">Voor mensen uit de laagste inkomensklassen, die de plekken het hardst nodig hebben, neemt de kansengelijkheid juist af. Zij krijgen binnen het huidige stelsel al 96% vergoed dus zij winnen financieel niks bij de nieuwe plannen. Het zal eerder duurder worden voor ze door inflatie en schaarste wegens een mogelijk verdringingseffect. En omdat het doenvermogen over het algemeen lager ligt bij deze ouders met een laag inkomen en/of een taalachterstand, zullen zij als eerste buiten de boot vallen. Het in veel gemeenten toegepaste beleid ‘ongelijk investeren voor gelijke kansen’ heeft bij deze stelselherziening geen plek gekregen en dat vinden we een gemiste kans. </w:t>
      </w:r>
    </w:p>
    <w:p w14:paraId="734834A2" w14:textId="77777777" w:rsidR="0064535F" w:rsidRPr="0064535F" w:rsidRDefault="0064535F" w:rsidP="0064535F">
      <w:pPr>
        <w:rPr>
          <w:rFonts w:ascii="Barlow" w:hAnsi="Barlow"/>
          <w:b/>
          <w:bCs/>
        </w:rPr>
      </w:pPr>
      <w:r w:rsidRPr="0064535F">
        <w:rPr>
          <w:rFonts w:ascii="Barlow" w:hAnsi="Barlow"/>
          <w:b/>
          <w:bCs/>
        </w:rPr>
        <w:t>5.</w:t>
      </w:r>
      <w:r w:rsidRPr="0064535F">
        <w:rPr>
          <w:rFonts w:ascii="Barlow" w:hAnsi="Barlow"/>
          <w:b/>
          <w:bCs/>
        </w:rPr>
        <w:tab/>
        <w:t>Ouders: zekerheid vooraf wordt ‘betaald’ met driemaandelijkse onrust</w:t>
      </w:r>
    </w:p>
    <w:p w14:paraId="34182117" w14:textId="77777777" w:rsidR="0064535F" w:rsidRPr="0064535F" w:rsidRDefault="0064535F" w:rsidP="0064535F">
      <w:pPr>
        <w:rPr>
          <w:rFonts w:ascii="Barlow" w:hAnsi="Barlow"/>
        </w:rPr>
      </w:pPr>
      <w:r w:rsidRPr="0064535F">
        <w:rPr>
          <w:rFonts w:ascii="Barlow" w:hAnsi="Barlow"/>
        </w:rPr>
        <w:t>In het concept stelsel krijgen ouders zekerheid vooraf dat zij recht hebben op de Vergoeding Kinderopvang (VKO) en dat er niet zal worden teruggevorderd. Daar staat echter ook nogal wat tegenover, omdat het immers om veel geld gaat dat de overheid betaalt:</w:t>
      </w:r>
    </w:p>
    <w:p w14:paraId="1CBA3B1C" w14:textId="77777777" w:rsidR="0064535F" w:rsidRPr="0064535F" w:rsidRDefault="0064535F" w:rsidP="0064535F">
      <w:pPr>
        <w:pStyle w:val="Lijstalinea"/>
        <w:numPr>
          <w:ilvl w:val="0"/>
          <w:numId w:val="1"/>
        </w:numPr>
        <w:rPr>
          <w:rFonts w:ascii="Barlow" w:hAnsi="Barlow"/>
        </w:rPr>
      </w:pPr>
      <w:r w:rsidRPr="0064535F">
        <w:rPr>
          <w:rFonts w:ascii="Barlow" w:hAnsi="Barlow"/>
        </w:rPr>
        <w:t>Elke drie maanden moeten ouders aantonen dat zij nog steeds aan de voorwaarden voldoen. Voor ouders in loondienst kan dit in de systemen van de overheid worden gecheckt. Maar voor bijvoorbeeld ondernemers, zzp’ers en seizoenarbeiders kan dit lastig worden, zeker in een periode waarin er even geen werk is. Dit zorgt voor een driemaandelijkse onrust.</w:t>
      </w:r>
    </w:p>
    <w:p w14:paraId="2F7A6D27" w14:textId="77777777" w:rsidR="0064535F" w:rsidRPr="0064535F" w:rsidRDefault="0064535F" w:rsidP="0064535F">
      <w:pPr>
        <w:pStyle w:val="Lijstalinea"/>
        <w:numPr>
          <w:ilvl w:val="0"/>
          <w:numId w:val="1"/>
        </w:numPr>
        <w:rPr>
          <w:rFonts w:ascii="Barlow" w:hAnsi="Barlow"/>
        </w:rPr>
      </w:pPr>
      <w:r w:rsidRPr="0064535F">
        <w:rPr>
          <w:rFonts w:ascii="Barlow" w:hAnsi="Barlow"/>
        </w:rPr>
        <w:t>Ouders weten op zijn vroegst 2,5 maand voor de start op de kinderopvang of er een recht op VKO is. Dat levert stress op in een vaak toch al stressvolle overgangsperiode (zwangerschap, overgang naar de basisschool). Ook voor de KOO/GOB levert dit ingewikkelde situaties op – lastminute de plekjes opvullen.</w:t>
      </w:r>
    </w:p>
    <w:p w14:paraId="06BA2BB1" w14:textId="77777777" w:rsidR="0064535F" w:rsidRPr="0064535F" w:rsidRDefault="0064535F" w:rsidP="0064535F">
      <w:pPr>
        <w:pStyle w:val="Lijstalinea"/>
        <w:numPr>
          <w:ilvl w:val="0"/>
          <w:numId w:val="2"/>
        </w:numPr>
        <w:rPr>
          <w:rFonts w:ascii="Barlow" w:hAnsi="Barlow"/>
        </w:rPr>
      </w:pPr>
      <w:r w:rsidRPr="0064535F">
        <w:rPr>
          <w:rFonts w:ascii="Barlow" w:hAnsi="Barlow"/>
        </w:rPr>
        <w:lastRenderedPageBreak/>
        <w:t>De KOO’s/GOB’s zullen hier in hun klantcontacten zeker rekening mee dienen te houden en veel meer contact met ouders moeten en willen houden. Het levert een andere dynamiek op wachtlijstbeheer en daarmee ook een risico op keuzes om zekere klanten voor te laten gaan op onzekere klanten.</w:t>
      </w:r>
    </w:p>
    <w:p w14:paraId="2F2AD375" w14:textId="77777777" w:rsidR="0064535F" w:rsidRPr="0064535F" w:rsidRDefault="0064535F" w:rsidP="0064535F">
      <w:pPr>
        <w:spacing w:after="0" w:line="280" w:lineRule="atLeast"/>
        <w:rPr>
          <w:rFonts w:ascii="Barlow" w:hAnsi="Barlow" w:cstheme="minorHAnsi"/>
          <w:b/>
          <w:bCs/>
        </w:rPr>
      </w:pPr>
      <w:r w:rsidRPr="0064535F">
        <w:rPr>
          <w:rFonts w:ascii="Barlow" w:hAnsi="Barlow" w:cstheme="minorHAnsi"/>
          <w:b/>
          <w:bCs/>
        </w:rPr>
        <w:t>6.</w:t>
      </w:r>
      <w:r w:rsidRPr="0064535F">
        <w:rPr>
          <w:rFonts w:ascii="Barlow" w:hAnsi="Barlow" w:cstheme="minorHAnsi"/>
          <w:b/>
          <w:bCs/>
        </w:rPr>
        <w:tab/>
        <w:t>Sterke toename administratieve last en overhead KOO/GOB</w:t>
      </w:r>
    </w:p>
    <w:p w14:paraId="18FF0526" w14:textId="77777777" w:rsidR="0064535F" w:rsidRPr="0064535F" w:rsidRDefault="0064535F" w:rsidP="0064535F">
      <w:pPr>
        <w:spacing w:after="0" w:line="280" w:lineRule="atLeast"/>
        <w:rPr>
          <w:rFonts w:ascii="Barlow" w:hAnsi="Barlow" w:cstheme="minorHAnsi"/>
        </w:rPr>
      </w:pPr>
    </w:p>
    <w:p w14:paraId="0A754DE3" w14:textId="77777777" w:rsidR="0064535F" w:rsidRPr="0064535F" w:rsidRDefault="0064535F" w:rsidP="0064535F">
      <w:pPr>
        <w:spacing w:after="0" w:line="280" w:lineRule="atLeast"/>
        <w:rPr>
          <w:rFonts w:ascii="Barlow" w:hAnsi="Barlow" w:cstheme="minorHAnsi"/>
        </w:rPr>
      </w:pPr>
      <w:r w:rsidRPr="0064535F">
        <w:rPr>
          <w:rFonts w:ascii="Barlow" w:hAnsi="Barlow" w:cstheme="minorHAnsi"/>
        </w:rPr>
        <w:t>De overheid gaat grote bedragen overmaken aan de KOO’s/GOB’s. Het is op zichzelf logisch dat de overheid daar zekerheden tegenover wil zien. Tegelijkertijd worden weinig aanbieders vrolijk bij de gedachte aan nóg meer wet- en regelgeving. De toename van de bureaucratie zal zitten in:</w:t>
      </w:r>
    </w:p>
    <w:p w14:paraId="5139B117" w14:textId="77777777" w:rsidR="0064535F" w:rsidRPr="0064535F" w:rsidRDefault="0064535F" w:rsidP="0064535F">
      <w:pPr>
        <w:spacing w:after="0" w:line="280" w:lineRule="atLeast"/>
        <w:rPr>
          <w:rFonts w:ascii="Barlow" w:hAnsi="Barlow" w:cstheme="minorHAnsi"/>
        </w:rPr>
      </w:pPr>
    </w:p>
    <w:p w14:paraId="2D4B9EF7" w14:textId="77777777" w:rsidR="0064535F" w:rsidRPr="0064535F" w:rsidRDefault="0064535F" w:rsidP="0064535F">
      <w:pPr>
        <w:pStyle w:val="Lijstalinea"/>
        <w:numPr>
          <w:ilvl w:val="1"/>
          <w:numId w:val="3"/>
        </w:numPr>
        <w:spacing w:after="0" w:line="280" w:lineRule="atLeast"/>
        <w:rPr>
          <w:rFonts w:ascii="Barlow" w:hAnsi="Barlow" w:cstheme="minorHAnsi"/>
        </w:rPr>
      </w:pPr>
      <w:r w:rsidRPr="0064535F">
        <w:rPr>
          <w:rFonts w:ascii="Barlow" w:hAnsi="Barlow" w:cstheme="minorHAnsi"/>
        </w:rPr>
        <w:t>Meer administratie en tijd rond planning en plaatsing (contact ouders, contact uitvoerder, aanleveren gegevens)</w:t>
      </w:r>
    </w:p>
    <w:p w14:paraId="491E3AE1" w14:textId="77777777" w:rsidR="0064535F" w:rsidRPr="0064535F" w:rsidRDefault="0064535F" w:rsidP="0064535F">
      <w:pPr>
        <w:pStyle w:val="Lijstalinea"/>
        <w:numPr>
          <w:ilvl w:val="1"/>
          <w:numId w:val="3"/>
        </w:numPr>
        <w:spacing w:after="0" w:line="280" w:lineRule="atLeast"/>
        <w:rPr>
          <w:rFonts w:ascii="Barlow" w:hAnsi="Barlow" w:cstheme="minorHAnsi"/>
        </w:rPr>
      </w:pPr>
      <w:r w:rsidRPr="0064535F">
        <w:rPr>
          <w:rFonts w:ascii="Barlow" w:hAnsi="Barlow" w:cstheme="minorHAnsi"/>
        </w:rPr>
        <w:t>Twee betaalstromen die aan elkaar moeten worden gekoppeld (ouders en overheid), voor de eigen administratie maar ook omdat betaling van de eigen bijdrage door ouders voorwaardelijk is voor het recht op de VKO</w:t>
      </w:r>
    </w:p>
    <w:p w14:paraId="27C598B7" w14:textId="77777777" w:rsidR="0064535F" w:rsidRPr="0064535F" w:rsidRDefault="0064535F" w:rsidP="0064535F">
      <w:pPr>
        <w:pStyle w:val="Lijstalinea"/>
        <w:numPr>
          <w:ilvl w:val="1"/>
          <w:numId w:val="3"/>
        </w:numPr>
        <w:spacing w:after="0" w:line="280" w:lineRule="atLeast"/>
        <w:rPr>
          <w:rFonts w:ascii="Barlow" w:hAnsi="Barlow" w:cstheme="minorHAnsi"/>
        </w:rPr>
      </w:pPr>
      <w:r w:rsidRPr="0064535F">
        <w:rPr>
          <w:rFonts w:ascii="Barlow" w:hAnsi="Barlow" w:cstheme="minorHAnsi"/>
        </w:rPr>
        <w:t>Extra eisen aan administratie omdat de overheid zekerheid wil over financiering</w:t>
      </w:r>
    </w:p>
    <w:p w14:paraId="62806930" w14:textId="77777777" w:rsidR="0064535F" w:rsidRPr="0064535F" w:rsidRDefault="0064535F" w:rsidP="0064535F">
      <w:pPr>
        <w:pStyle w:val="Lijstalinea"/>
        <w:numPr>
          <w:ilvl w:val="1"/>
          <w:numId w:val="3"/>
        </w:numPr>
        <w:spacing w:after="0" w:line="280" w:lineRule="atLeast"/>
        <w:rPr>
          <w:rFonts w:ascii="Barlow" w:hAnsi="Barlow" w:cstheme="minorHAnsi"/>
        </w:rPr>
      </w:pPr>
      <w:r w:rsidRPr="0064535F">
        <w:rPr>
          <w:rFonts w:ascii="Barlow" w:hAnsi="Barlow" w:cstheme="minorHAnsi"/>
        </w:rPr>
        <w:t>Complexere facturen (onderscheid tussen bijdrage overheid, bijdrage 4%, bijdrage daarboven) en dito vragen</w:t>
      </w:r>
    </w:p>
    <w:p w14:paraId="735045EE" w14:textId="77777777" w:rsidR="0064535F" w:rsidRPr="0064535F" w:rsidRDefault="0064535F" w:rsidP="0064535F">
      <w:pPr>
        <w:pStyle w:val="Lijstalinea"/>
        <w:numPr>
          <w:ilvl w:val="1"/>
          <w:numId w:val="3"/>
        </w:numPr>
        <w:spacing w:after="0" w:line="280" w:lineRule="atLeast"/>
        <w:rPr>
          <w:rFonts w:ascii="Barlow" w:hAnsi="Barlow" w:cstheme="minorHAnsi"/>
        </w:rPr>
      </w:pPr>
      <w:r w:rsidRPr="0064535F">
        <w:rPr>
          <w:rFonts w:ascii="Barlow" w:hAnsi="Barlow" w:cstheme="minorHAnsi"/>
        </w:rPr>
        <w:t>Voor kleine KOO’s die niet met een pakket werken dat is toegesneden op de kinderopvang, zullen de administratieve vereisten te zwaar zijn, schatten wij in. Zij moeten 1-op-1 ondersteund worden in de transitie. Bovendien moet de overheid een softwarepakket ter beschikking stellen dat gebruikt kan worden. De kleine KOO’s zijn essentieel voor de fijnmazigheid van de kinderopvang.</w:t>
      </w:r>
    </w:p>
    <w:p w14:paraId="6997A016" w14:textId="77777777" w:rsidR="0064535F" w:rsidRPr="0064535F" w:rsidRDefault="0064535F" w:rsidP="0064535F">
      <w:pPr>
        <w:pStyle w:val="Lijstalinea"/>
        <w:numPr>
          <w:ilvl w:val="1"/>
          <w:numId w:val="3"/>
        </w:numPr>
        <w:rPr>
          <w:rFonts w:ascii="Barlow" w:hAnsi="Barlow"/>
        </w:rPr>
      </w:pPr>
      <w:r w:rsidRPr="0064535F">
        <w:rPr>
          <w:rFonts w:ascii="Barlow" w:hAnsi="Barlow" w:cstheme="minorHAnsi"/>
        </w:rPr>
        <w:t>De verwachting is dat de overhead 10-20% zal toenemen. De vraag is of dit ook goed in de te vergoeden tarieven zal worden verdisconteerd. Vanuit de ervaring met IKK weten we dat dat niet altijd zo is. Dat zal ten koste gaan van de kwaliteit en fijnmazigheid van de kinderopvang.</w:t>
      </w:r>
    </w:p>
    <w:p w14:paraId="78E56A18" w14:textId="77777777" w:rsidR="0064535F" w:rsidRPr="0064535F" w:rsidRDefault="0064535F" w:rsidP="0064535F">
      <w:pPr>
        <w:spacing w:after="0" w:line="280" w:lineRule="atLeast"/>
        <w:rPr>
          <w:rFonts w:ascii="Barlow" w:hAnsi="Barlow" w:cstheme="minorHAnsi"/>
          <w:b/>
          <w:bCs/>
        </w:rPr>
      </w:pPr>
      <w:r w:rsidRPr="0064535F">
        <w:rPr>
          <w:rFonts w:ascii="Barlow" w:hAnsi="Barlow" w:cstheme="minorHAnsi"/>
          <w:b/>
          <w:bCs/>
        </w:rPr>
        <w:t>7.</w:t>
      </w:r>
      <w:r w:rsidRPr="0064535F">
        <w:rPr>
          <w:rFonts w:ascii="Barlow" w:hAnsi="Barlow" w:cstheme="minorHAnsi"/>
          <w:b/>
          <w:bCs/>
        </w:rPr>
        <w:tab/>
        <w:t>Meer bureaucratie voor pedagogisch professional, meer controleur en minder partner</w:t>
      </w:r>
    </w:p>
    <w:p w14:paraId="14240F76" w14:textId="77777777" w:rsidR="0064535F" w:rsidRPr="0064535F" w:rsidRDefault="0064535F" w:rsidP="0064535F">
      <w:pPr>
        <w:spacing w:after="0" w:line="280" w:lineRule="atLeast"/>
        <w:rPr>
          <w:rFonts w:ascii="Barlow" w:hAnsi="Barlow" w:cstheme="minorHAnsi"/>
          <w:b/>
          <w:bCs/>
        </w:rPr>
      </w:pPr>
    </w:p>
    <w:p w14:paraId="4671D558" w14:textId="77777777" w:rsidR="0064535F" w:rsidRPr="0064535F" w:rsidRDefault="0064535F" w:rsidP="0064535F">
      <w:pPr>
        <w:spacing w:after="0" w:line="280" w:lineRule="atLeast"/>
        <w:rPr>
          <w:rFonts w:ascii="Barlow" w:hAnsi="Barlow" w:cstheme="minorHAnsi"/>
          <w:b/>
          <w:bCs/>
        </w:rPr>
      </w:pPr>
      <w:r w:rsidRPr="0064535F">
        <w:rPr>
          <w:rFonts w:ascii="Barlow" w:hAnsi="Barlow" w:cstheme="minorHAnsi"/>
        </w:rPr>
        <w:t xml:space="preserve">Om “overconsumptie” te voorkomen wil de overheid dat wij gaan bijhouden of ouders hun kinderen wel brengen op de dagen die ze afnemen (en die de overheid grotendeels betaalt). Als ouders hun kinderen structureel op bepaalde dagen niet of nauwelijks brengen, zal de KOO met hen in gesprek moeten en/of het contract moeten verbreken. De rol van de pedagogisch professional zal in sommige gevallen dus meer controleur worden, wat zich slecht verhoudt tot de rol van partner voor ouders. </w:t>
      </w:r>
    </w:p>
    <w:p w14:paraId="181262A5" w14:textId="77777777" w:rsidR="0064535F" w:rsidRPr="0064535F" w:rsidRDefault="0064535F" w:rsidP="0064535F">
      <w:pPr>
        <w:spacing w:after="0" w:line="280" w:lineRule="atLeast"/>
        <w:rPr>
          <w:rFonts w:ascii="Barlow" w:hAnsi="Barlow" w:cstheme="minorHAnsi"/>
        </w:rPr>
      </w:pPr>
    </w:p>
    <w:p w14:paraId="145F06F8" w14:textId="77777777" w:rsidR="0064535F" w:rsidRPr="0064535F" w:rsidRDefault="0064535F" w:rsidP="0064535F">
      <w:pPr>
        <w:spacing w:after="0" w:line="280" w:lineRule="atLeast"/>
        <w:rPr>
          <w:rFonts w:ascii="Barlow" w:hAnsi="Barlow" w:cstheme="minorHAnsi"/>
          <w:b/>
          <w:bCs/>
        </w:rPr>
      </w:pPr>
      <w:r w:rsidRPr="0064535F">
        <w:rPr>
          <w:rFonts w:ascii="Barlow" w:hAnsi="Barlow" w:cstheme="minorHAnsi"/>
          <w:b/>
          <w:bCs/>
        </w:rPr>
        <w:t>8.</w:t>
      </w:r>
      <w:r w:rsidRPr="0064535F">
        <w:rPr>
          <w:rFonts w:ascii="Barlow" w:hAnsi="Barlow" w:cstheme="minorHAnsi"/>
          <w:b/>
          <w:bCs/>
        </w:rPr>
        <w:tab/>
        <w:t>Financiële afhankelijkheid van overheid</w:t>
      </w:r>
    </w:p>
    <w:p w14:paraId="1C9B2652" w14:textId="77777777" w:rsidR="0064535F" w:rsidRPr="0064535F" w:rsidRDefault="0064535F" w:rsidP="0064535F">
      <w:pPr>
        <w:spacing w:after="0" w:line="280" w:lineRule="atLeast"/>
        <w:rPr>
          <w:rFonts w:ascii="Barlow" w:hAnsi="Barlow" w:cstheme="minorHAnsi"/>
        </w:rPr>
      </w:pPr>
    </w:p>
    <w:p w14:paraId="0719E38C" w14:textId="65F25768" w:rsidR="0064535F" w:rsidRPr="0064535F" w:rsidRDefault="0064535F" w:rsidP="0064535F">
      <w:pPr>
        <w:spacing w:after="0" w:line="280" w:lineRule="atLeast"/>
        <w:rPr>
          <w:rFonts w:ascii="Barlow" w:hAnsi="Barlow" w:cstheme="minorHAnsi"/>
        </w:rPr>
      </w:pPr>
      <w:r w:rsidRPr="0064535F">
        <w:rPr>
          <w:rFonts w:ascii="Barlow" w:hAnsi="Barlow" w:cstheme="minorHAnsi"/>
        </w:rPr>
        <w:t xml:space="preserve">De KOO/GOB wordt afhankelijk van één grote debiteur, namelijk de overheid. Dat levert onzekerheid op: tijdige betaling wordt cruciaal. De betaaltermijnen die nu in het ontwerp staan, sluiten onvoldoende aan bij de bedrijfsvoering van veel KOO’s/GOB’s. Als de facturen eerder aan de overheid kunnen worden gestuurd, is dit </w:t>
      </w:r>
      <w:r w:rsidR="001C19FF">
        <w:rPr>
          <w:rFonts w:ascii="Barlow" w:hAnsi="Barlow" w:cstheme="minorHAnsi"/>
        </w:rPr>
        <w:t>opgelost.</w:t>
      </w:r>
      <w:r w:rsidRPr="0064535F">
        <w:rPr>
          <w:rFonts w:ascii="Barlow" w:hAnsi="Barlow" w:cstheme="minorHAnsi"/>
        </w:rPr>
        <w:t xml:space="preserve"> </w:t>
      </w:r>
    </w:p>
    <w:p w14:paraId="073B177A" w14:textId="77777777" w:rsidR="0064535F" w:rsidRPr="0064535F" w:rsidRDefault="0064535F" w:rsidP="0064535F">
      <w:pPr>
        <w:rPr>
          <w:rFonts w:ascii="Barlow" w:hAnsi="Barlow"/>
        </w:rPr>
      </w:pPr>
    </w:p>
    <w:p w14:paraId="4D713004" w14:textId="77777777" w:rsidR="009F5DAB" w:rsidRPr="0064535F" w:rsidRDefault="009F5DAB" w:rsidP="0064535F">
      <w:pPr>
        <w:rPr>
          <w:rFonts w:ascii="Barlow" w:hAnsi="Barlow"/>
        </w:rPr>
      </w:pPr>
    </w:p>
    <w:sectPr w:rsidR="009F5DAB" w:rsidRPr="0064535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0245" w14:textId="77777777" w:rsidR="002F35ED" w:rsidRDefault="002F35ED" w:rsidP="002F35ED">
      <w:pPr>
        <w:spacing w:after="0" w:line="240" w:lineRule="auto"/>
      </w:pPr>
      <w:r>
        <w:separator/>
      </w:r>
    </w:p>
  </w:endnote>
  <w:endnote w:type="continuationSeparator" w:id="0">
    <w:p w14:paraId="0F619F00" w14:textId="77777777" w:rsidR="002F35ED" w:rsidRDefault="002F35ED" w:rsidP="002F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altName w:val="Calibri"/>
    <w:charset w:val="00"/>
    <w:family w:val="auto"/>
    <w:pitch w:val="variable"/>
    <w:sig w:usb0="20000007" w:usb1="00000000" w:usb2="00000000" w:usb3="00000000" w:csb0="00000193" w:csb1="00000000"/>
  </w:font>
  <w:font w:name="Barlow Light">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697622"/>
      <w:docPartObj>
        <w:docPartGallery w:val="Page Numbers (Bottom of Page)"/>
        <w:docPartUnique/>
      </w:docPartObj>
    </w:sdtPr>
    <w:sdtEndPr>
      <w:rPr>
        <w:rFonts w:ascii="Barlow Light" w:hAnsi="Barlow Light"/>
      </w:rPr>
    </w:sdtEndPr>
    <w:sdtContent>
      <w:p w14:paraId="0C1F9502" w14:textId="5CFF608B" w:rsidR="002F35ED" w:rsidRDefault="002F35ED">
        <w:pPr>
          <w:pStyle w:val="Voettekst"/>
          <w:jc w:val="right"/>
        </w:pPr>
        <w:r w:rsidRPr="002F35ED">
          <w:rPr>
            <w:rFonts w:ascii="Barlow" w:hAnsi="Barlow"/>
            <w:sz w:val="18"/>
            <w:szCs w:val="18"/>
          </w:rPr>
          <w:fldChar w:fldCharType="begin"/>
        </w:r>
        <w:r w:rsidRPr="002F35ED">
          <w:rPr>
            <w:rFonts w:ascii="Barlow" w:hAnsi="Barlow"/>
            <w:sz w:val="18"/>
            <w:szCs w:val="18"/>
          </w:rPr>
          <w:instrText>PAGE   \* MERGEFORMAT</w:instrText>
        </w:r>
        <w:r w:rsidRPr="002F35ED">
          <w:rPr>
            <w:rFonts w:ascii="Barlow" w:hAnsi="Barlow"/>
            <w:sz w:val="18"/>
            <w:szCs w:val="18"/>
          </w:rPr>
          <w:fldChar w:fldCharType="separate"/>
        </w:r>
        <w:r w:rsidRPr="002F35ED">
          <w:rPr>
            <w:rFonts w:ascii="Barlow" w:hAnsi="Barlow"/>
            <w:sz w:val="18"/>
            <w:szCs w:val="18"/>
          </w:rPr>
          <w:t>2</w:t>
        </w:r>
        <w:r w:rsidRPr="002F35ED">
          <w:rPr>
            <w:rFonts w:ascii="Barlow" w:hAnsi="Barlow"/>
            <w:sz w:val="18"/>
            <w:szCs w:val="18"/>
          </w:rPr>
          <w:fldChar w:fldCharType="end"/>
        </w:r>
      </w:p>
    </w:sdtContent>
  </w:sdt>
  <w:p w14:paraId="2C93633E" w14:textId="77777777" w:rsidR="002F35ED" w:rsidRDefault="002F35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031D" w14:textId="77777777" w:rsidR="002F35ED" w:rsidRDefault="002F35ED" w:rsidP="002F35ED">
      <w:pPr>
        <w:spacing w:after="0" w:line="240" w:lineRule="auto"/>
      </w:pPr>
      <w:r>
        <w:separator/>
      </w:r>
    </w:p>
  </w:footnote>
  <w:footnote w:type="continuationSeparator" w:id="0">
    <w:p w14:paraId="59AE9BC3" w14:textId="77777777" w:rsidR="002F35ED" w:rsidRDefault="002F35ED" w:rsidP="002F3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17F6" w14:textId="6AC94D98" w:rsidR="002F35ED" w:rsidRDefault="002F35ED">
    <w:pPr>
      <w:pStyle w:val="Koptekst"/>
    </w:pPr>
    <w:r>
      <w:rPr>
        <w:noProof/>
      </w:rPr>
      <w:drawing>
        <wp:anchor distT="0" distB="0" distL="114300" distR="114300" simplePos="0" relativeHeight="251658240" behindDoc="1" locked="0" layoutInCell="1" allowOverlap="1" wp14:anchorId="5602B4BF" wp14:editId="1F16B7C4">
          <wp:simplePos x="0" y="0"/>
          <wp:positionH relativeFrom="margin">
            <wp:posOffset>10359</wp:posOffset>
          </wp:positionH>
          <wp:positionV relativeFrom="paragraph">
            <wp:posOffset>-203252</wp:posOffset>
          </wp:positionV>
          <wp:extent cx="1852295" cy="429895"/>
          <wp:effectExtent l="0" t="0" r="0" b="8255"/>
          <wp:wrapTight wrapText="bothSides">
            <wp:wrapPolygon edited="0">
              <wp:start x="0" y="0"/>
              <wp:lineTo x="0" y="21058"/>
              <wp:lineTo x="5332" y="21058"/>
              <wp:lineTo x="8442" y="21058"/>
              <wp:lineTo x="17105" y="17229"/>
              <wp:lineTo x="16883" y="15315"/>
              <wp:lineTo x="21326" y="9572"/>
              <wp:lineTo x="21326" y="3829"/>
              <wp:lineTo x="5332" y="0"/>
              <wp:lineTo x="0" y="0"/>
            </wp:wrapPolygon>
          </wp:wrapTight>
          <wp:docPr id="1269520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295" cy="429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862"/>
    <w:multiLevelType w:val="hybridMultilevel"/>
    <w:tmpl w:val="A2925F7C"/>
    <w:lvl w:ilvl="0" w:tplc="FFFFFFFF">
      <w:start w:val="1"/>
      <w:numFmt w:val="decimal"/>
      <w:lvlText w:val="%1."/>
      <w:lvlJc w:val="left"/>
      <w:pPr>
        <w:ind w:left="360" w:hanging="360"/>
      </w:pPr>
      <w:rPr>
        <w:rFonts w:hint="default"/>
      </w:rPr>
    </w:lvl>
    <w:lvl w:ilvl="1" w:tplc="EFFC14FA">
      <w:numFmt w:val="bullet"/>
      <w:lvlText w:val="-"/>
      <w:lvlJc w:val="left"/>
      <w:pPr>
        <w:ind w:left="36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BC13731"/>
    <w:multiLevelType w:val="hybridMultilevel"/>
    <w:tmpl w:val="0EA64D1E"/>
    <w:lvl w:ilvl="0" w:tplc="AC58188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BF227A"/>
    <w:multiLevelType w:val="hybridMultilevel"/>
    <w:tmpl w:val="7C3EB8E2"/>
    <w:lvl w:ilvl="0" w:tplc="AC58188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1222770">
    <w:abstractNumId w:val="2"/>
  </w:num>
  <w:num w:numId="2" w16cid:durableId="576676179">
    <w:abstractNumId w:val="1"/>
  </w:num>
  <w:num w:numId="3" w16cid:durableId="194645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ED"/>
    <w:rsid w:val="00160584"/>
    <w:rsid w:val="0019212A"/>
    <w:rsid w:val="001C19FF"/>
    <w:rsid w:val="002F35ED"/>
    <w:rsid w:val="003721D9"/>
    <w:rsid w:val="0064535F"/>
    <w:rsid w:val="007F67D4"/>
    <w:rsid w:val="009F5DAB"/>
    <w:rsid w:val="00A61677"/>
    <w:rsid w:val="00A67666"/>
    <w:rsid w:val="00F860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9476"/>
  <w15:chartTrackingRefBased/>
  <w15:docId w15:val="{0D4BEE1B-3F29-409A-817E-D713E23A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53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35ED"/>
    <w:rPr>
      <w:color w:val="0563C1" w:themeColor="hyperlink"/>
      <w:u w:val="single"/>
    </w:rPr>
  </w:style>
  <w:style w:type="paragraph" w:styleId="Koptekst">
    <w:name w:val="header"/>
    <w:basedOn w:val="Standaard"/>
    <w:link w:val="KoptekstChar"/>
    <w:uiPriority w:val="99"/>
    <w:unhideWhenUsed/>
    <w:rsid w:val="002F35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35ED"/>
  </w:style>
  <w:style w:type="paragraph" w:styleId="Voettekst">
    <w:name w:val="footer"/>
    <w:basedOn w:val="Standaard"/>
    <w:link w:val="VoettekstChar"/>
    <w:uiPriority w:val="99"/>
    <w:unhideWhenUsed/>
    <w:rsid w:val="002F35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35ED"/>
  </w:style>
  <w:style w:type="paragraph" w:styleId="Lijstalinea">
    <w:name w:val="List Paragraph"/>
    <w:basedOn w:val="Standaard"/>
    <w:uiPriority w:val="34"/>
    <w:qFormat/>
    <w:rsid w:val="0064535F"/>
    <w:pPr>
      <w:ind w:left="720"/>
      <w:contextualSpacing/>
    </w:pPr>
  </w:style>
  <w:style w:type="character" w:styleId="Verwijzingopmerking">
    <w:name w:val="annotation reference"/>
    <w:basedOn w:val="Standaardalinea-lettertype"/>
    <w:uiPriority w:val="99"/>
    <w:semiHidden/>
    <w:unhideWhenUsed/>
    <w:rsid w:val="0064535F"/>
    <w:rPr>
      <w:sz w:val="16"/>
      <w:szCs w:val="16"/>
    </w:rPr>
  </w:style>
  <w:style w:type="paragraph" w:styleId="Tekstopmerking">
    <w:name w:val="annotation text"/>
    <w:basedOn w:val="Standaard"/>
    <w:link w:val="TekstopmerkingChar"/>
    <w:uiPriority w:val="99"/>
    <w:unhideWhenUsed/>
    <w:rsid w:val="0064535F"/>
    <w:pPr>
      <w:spacing w:line="240" w:lineRule="auto"/>
    </w:pPr>
    <w:rPr>
      <w:sz w:val="20"/>
      <w:szCs w:val="20"/>
    </w:rPr>
  </w:style>
  <w:style w:type="character" w:customStyle="1" w:styleId="TekstopmerkingChar">
    <w:name w:val="Tekst opmerking Char"/>
    <w:basedOn w:val="Standaardalinea-lettertype"/>
    <w:link w:val="Tekstopmerking"/>
    <w:uiPriority w:val="99"/>
    <w:rsid w:val="0064535F"/>
    <w:rPr>
      <w:sz w:val="20"/>
      <w:szCs w:val="20"/>
    </w:rPr>
  </w:style>
  <w:style w:type="character" w:styleId="Onopgelostemelding">
    <w:name w:val="Unresolved Mention"/>
    <w:basedOn w:val="Standaardalinea-lettertype"/>
    <w:uiPriority w:val="99"/>
    <w:semiHidden/>
    <w:unhideWhenUsed/>
    <w:rsid w:val="00F86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b.nu/de-belastingen-op-arbeid-zijn-complex-onrechtvaardig-en-belemmeren-meer-werk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ijksoverheid.nl/documenten/rapporten/2022/09/05/bijlage-1-rapport-arbeidsmarktprognose-kinderopva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0230627F34741A0AD9389863C2746" ma:contentTypeVersion="19" ma:contentTypeDescription="Een nieuw document maken." ma:contentTypeScope="" ma:versionID="32e0a6b45c27a136fe4dafabf2a6f654">
  <xsd:schema xmlns:xsd="http://www.w3.org/2001/XMLSchema" xmlns:xs="http://www.w3.org/2001/XMLSchema" xmlns:p="http://schemas.microsoft.com/office/2006/metadata/properties" xmlns:ns1="http://schemas.microsoft.com/sharepoint/v3" xmlns:ns2="f6fd1361-986e-4d6b-8fb3-4356d37dbfec" xmlns:ns3="8ed44999-076d-4199-bee7-a3b02dd9aa15" targetNamespace="http://schemas.microsoft.com/office/2006/metadata/properties" ma:root="true" ma:fieldsID="ddcaee4486a9264a290c2bac53ce15a9" ns1:_="" ns2:_="" ns3:_="">
    <xsd:import namespace="http://schemas.microsoft.com/sharepoint/v3"/>
    <xsd:import namespace="f6fd1361-986e-4d6b-8fb3-4356d37dbfec"/>
    <xsd:import namespace="8ed44999-076d-4199-bee7-a3b02dd9aa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igenschappen van het geïntegreerd beleid voor naleving" ma:hidden="true" ma:internalName="_ip_UnifiedCompliancePolicyProperties">
      <xsd:simpleType>
        <xsd:restriction base="dms:Note"/>
      </xsd:simpleType>
    </xsd:element>
    <xsd:element name="_ip_UnifiedCompliancePolicyUIAction" ma:index="1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1361-986e-4d6b-8fb3-4356d37db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57f4581-7080-4080-b54b-b55f18e1145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44999-076d-4199-bee7-a3b02dd9aa1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272c06c9-768f-4023-abb0-1c78791e1186}" ma:internalName="TaxCatchAll" ma:showField="CatchAllData" ma:web="8ed44999-076d-4199-bee7-a3b02dd9a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6fd1361-986e-4d6b-8fb3-4356d37dbfec">
      <Terms xmlns="http://schemas.microsoft.com/office/infopath/2007/PartnerControls"/>
    </lcf76f155ced4ddcb4097134ff3c332f>
    <TaxCatchAll xmlns="8ed44999-076d-4199-bee7-a3b02dd9aa1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9CA40C0-09BD-417D-A164-3C9F1EE622B5}">
  <ds:schemaRefs>
    <ds:schemaRef ds:uri="http://schemas.microsoft.com/sharepoint/v3/contenttype/forms"/>
  </ds:schemaRefs>
</ds:datastoreItem>
</file>

<file path=customXml/itemProps2.xml><?xml version="1.0" encoding="utf-8"?>
<ds:datastoreItem xmlns:ds="http://schemas.openxmlformats.org/officeDocument/2006/customXml" ds:itemID="{DEE7FFEA-F65B-4ABF-AE32-DBDBF1ADD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d1361-986e-4d6b-8fb3-4356d37dbfec"/>
    <ds:schemaRef ds:uri="8ed44999-076d-4199-bee7-a3b02dd9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E9B30-8F30-40F0-8909-66E757FBA59B}">
  <ds:schemaRefs>
    <ds:schemaRef ds:uri="http://purl.org/dc/elements/1.1/"/>
    <ds:schemaRef ds:uri="http://purl.org/dc/dcmitype/"/>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8ed44999-076d-4199-bee7-a3b02dd9aa15"/>
    <ds:schemaRef ds:uri="f6fd1361-986e-4d6b-8fb3-4356d37dbf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1461</Words>
  <Characters>8036</Characters>
  <Application>Microsoft Office Word</Application>
  <DocSecurity>0</DocSecurity>
  <Lines>66</Lines>
  <Paragraphs>18</Paragraphs>
  <ScaleCrop>false</ScaleCrop>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Nynke Visscher | Brancheorganisatie Kinderopvang</dc:creator>
  <cp:keywords/>
  <dc:description/>
  <cp:lastModifiedBy>Nynke Visscher | Brancheorganisatie Kinderopvang</cp:lastModifiedBy>
  <cp:revision>11</cp:revision>
  <cp:lastPrinted>2023-05-03T13:19:00Z</cp:lastPrinted>
  <dcterms:created xsi:type="dcterms:W3CDTF">2023-05-03T12:56:00Z</dcterms:created>
  <dcterms:modified xsi:type="dcterms:W3CDTF">2023-05-03T13:22:00Z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0x0101004650230627F34741A0AD9389863C2746</vt:lpwstr>
  </property>
  <property fmtid="{D5CDD505-2E9C-101B-9397-08002B2CF9AE}" pid="3" name="MediaServiceImageTags">
    <vt:lpwstr/>
  </property>
</Properties>
</file>